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Африканский рай - 3*</w:t>
      </w:r>
      <w:bookmarkEnd w:id="0"/>
    </w:p>
    <w:p/>
    <w:p>
      <w:pPr>
        <w:pStyle w:val="pStyle"/>
      </w:pPr>
      <w:r>
        <w:rPr>
          <w:b w:val="1"/>
          <w:bCs w:val="1"/>
        </w:rPr>
        <w:t xml:space="preserve">Даты тура: </w:t>
      </w:r>
      <w:r>
        <w:rPr/>
        <w:t xml:space="preserve">до 15.12.2026</w:t>
      </w:r>
    </w:p>
    <w:p>
      <w:pPr>
        <w:pStyle w:val="pStyle"/>
      </w:pPr>
      <w:r>
        <w:rPr>
          <w:b w:val="1"/>
          <w:bCs w:val="1"/>
        </w:rPr>
        <w:t xml:space="preserve">Страна: </w:t>
      </w:r>
      <w:r>
        <w:rPr/>
        <w:t xml:space="preserve">Кения</w:t>
      </w:r>
    </w:p>
    <w:p>
      <w:pPr>
        <w:pStyle w:val="pStyle"/>
      </w:pPr>
      <w:r>
        <w:rPr>
          <w:b w:val="1"/>
          <w:bCs w:val="1"/>
        </w:rPr>
        <w:t xml:space="preserve">Маршрут: </w:t>
      </w:r>
      <w:r>
        <w:rPr/>
        <w:t xml:space="preserve">Найроби – Самбуру – Ол Педжета – Озеро Накуру – Масаи Мара – озеро Найваша - Амбосели</w:t>
      </w:r>
    </w:p>
    <w:p>
      <w:pPr>
        <w:pStyle w:val="pStyle"/>
      </w:pPr>
      <w:r>
        <w:rPr>
          <w:b w:val="1"/>
          <w:bCs w:val="1"/>
        </w:rPr>
        <w:t xml:space="preserve">Стоимость тура: </w:t>
      </w:r>
      <w:r>
        <w:rPr/>
        <w:t xml:space="preserve">от 4260 $</w:t>
      </w:r>
    </w:p>
    <w:p/>
    <w:p>
      <w:pPr>
        <w:jc w:val="center"/>
      </w:pPr>
      <w:r>
        <w:pict>
          <v:shape type="#_x0000_t75" stroked="f" style="width:450pt; height:337.5pt; margin-left:0pt; margin-top:0pt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/>
    <w:p>
      <w:pPr>
        <w:pStyle w:val="Heading2"/>
      </w:pPr>
      <w:bookmarkStart w:id="1" w:name="_Toc1"/>
      <w:r>
        <w:t>Описание тура</w:t>
      </w:r>
      <w:bookmarkEnd w:id="1"/>
    </w:p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1: Прилет в Найроби. Размещение в отеле. Посещение Центра Жирафов и ужин в ресторане Карнивор.</w:t>
      </w:r>
    </w:p>
    <w:tbl>
      <w:tblGrid>
        <w:gridCol w:w="5442.5196850393704153248108923435211181640625" w:type="dxa"/>
        <w:gridCol w:w="3628.346456692913307051640003919601440429687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5442.5196850393704153248108923435211181640625" w:type="dxa"/>
            <w:vAlign w:val="top"/>
            <w:noWrap/>
          </w:tcPr>
          <w:p>
            <w:pPr>
              <w:spacing w:after="100"/>
            </w:pPr>
            <w:r>
              <w:rPr/>
              <w:t xml:space="preserve">Прибытие в Найроби. Трансфер и размещение в отеле.</w:t>
            </w:r>
          </w:p>
          <w:p>
            <w:pPr>
              <w:spacing w:after="100"/>
            </w:pPr>
            <w:r>
              <w:rPr/>
              <w:t xml:space="preserve">Свободное время для отдыха.</w:t>
            </w:r>
          </w:p>
        </w:tc>
        <w:tc>
          <w:tcPr>
            <w:tcW w:w="3628.3464566929133070516400039196014404296875" w:type="dxa"/>
            <w:vAlign w:val="top"/>
            <w:noWrap/>
          </w:tcPr>
          <w:p>
            <w:pPr/>
            <w:r>
              <w:pict>
                <v:shape type="#_x0000_t75" stroked="f" style="width:242pt; height:161.2939453125pt; margin-left:0pt; margin-top:113.38582677165pt; mso-position-horizontal:left; mso-position-vertical:top; mso-position-horizontal-relative:char; mso-position-vertical-relative:line;">
                  <w10:wrap type="inline"/>
                  <v:imagedata r:id="rId8" o:title=""/>
                </v:shape>
              </w:pict>
            </w:r>
          </w:p>
        </w:tc>
      </w:tr>
    </w:tbl>
    <w:p/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Невозможно придумать лучшего начала знакомства с Кенией, чем посещение Центра Жирафов https://www.giraffecentre.org/ </w:t>
            </w:r>
          </w:p>
          <w:p>
            <w:pPr>
              <w:spacing w:after="100"/>
            </w:pPr>
            <w:r>
              <w:rPr/>
              <w:t xml:space="preserve">Это место дарит всем гостям удивительную возможность сфотографироваться с этими удивительными, милыми, любопытными и дружелюбными животными в процессе их кормления.</w:t>
            </w:r>
          </w:p>
          <w:p>
            <w:pPr>
              <w:spacing w:after="100"/>
            </w:pPr>
            <w:r>
              <w:rPr/>
              <w:t xml:space="preserve">В завершение дня Вас ожидает ужин во всемирно известном африканском ресторане Карнивор https://tamarind.co.ke/carnivore/</w:t>
            </w:r>
          </w:p>
          <w:p>
            <w:pPr>
              <w:spacing w:after="100"/>
            </w:pPr>
            <w:r>
              <w:rPr/>
              <w:t xml:space="preserve">Включенный в список самых необычных ресторанов мира он удивляет не только своим оригинальным дизайном и концепцией обслуживания, но и богатым ассортиментом  мяса различных африканских животных, приготовленного на гриле, который удивит даже самого искушенного гастрономического хищника.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Four Points By Sheraton 5*, Traditional Room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Завтрак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2: Переезд в Самбуру. Вечернее сафари.</w:t>
      </w:r>
    </w:p>
    <w:tbl>
      <w:tblGrid>
        <w:gridCol w:w="5442.5196850393704153248108923435211181640625" w:type="dxa"/>
        <w:gridCol w:w="3628.346456692913307051640003919601440429687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5442.5196850393704153248108923435211181640625" w:type="dxa"/>
            <w:vAlign w:val="top"/>
            <w:noWrap/>
          </w:tcPr>
          <w:p>
            <w:pPr>
              <w:spacing w:after="100"/>
            </w:pPr>
            <w:r>
              <w:rPr/>
              <w:t xml:space="preserve">Завтрак. Переезд в национальный парк Самбуру (около 6 часов / указанное время является ориентировочным, в зависимости от транспортного движения и состояния дороги время в пути может быть увеличено).</w:t>
            </w:r>
          </w:p>
          <w:p>
            <w:pPr>
              <w:spacing w:after="100"/>
            </w:pPr>
            <w:r>
              <w:rPr/>
              <w:t xml:space="preserve">Пересечение экватора и поездка по живописной северной части страны.</w:t>
            </w:r>
          </w:p>
        </w:tc>
        <w:tc>
          <w:tcPr>
            <w:tcW w:w="3628.3464566929133070516400039196014404296875" w:type="dxa"/>
            <w:vAlign w:val="top"/>
            <w:noWrap/>
          </w:tcPr>
          <w:p>
            <w:pPr/>
            <w:r>
              <w:pict>
                <v:shape type="#_x0000_t75" stroked="f" style="width:242pt; height:161.33333333333pt; margin-left:0pt; margin-top:113.38582677165pt; mso-position-horizontal:left; mso-position-vertical:top; mso-position-horizontal-relative:char; mso-position-vertical-relative:line;">
                  <w10:wrap type="inline"/>
                  <v:imagedata r:id="rId9" o:title=""/>
                </v:shape>
              </w:pict>
            </w:r>
          </w:p>
        </w:tc>
      </w:tr>
    </w:tbl>
    <w:p/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Размещение в лодже. Обед. Вечернее сафари.</w:t>
            </w:r>
          </w:p>
          <w:p>
            <w:pPr>
              <w:spacing w:after="100"/>
            </w:pPr>
            <w:r>
              <w:rPr/>
              <w:t xml:space="preserve">Здесь Вы сможете увидеть редких африканских животных, которые обитают только в этой части страны: ретикулятивный жираф, зебра Греви, орикс, сомалийский страус и антилопа Геренук. Кроме того, в Самбуру обитает огромное количество хищников и велика вероятность встретить львов и леопардов.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Samburu Simba Lodge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Полный пансион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3: Переезд в Ол Педжета. Вечернее сафари.</w:t>
      </w:r>
    </w:p>
    <w:tbl>
      <w:tblGrid>
        <w:gridCol w:w="5442.5196850393704153248108923435211181640625" w:type="dxa"/>
        <w:gridCol w:w="3628.346456692913307051640003919601440429687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5442.5196850393704153248108923435211181640625" w:type="dxa"/>
            <w:vAlign w:val="top"/>
            <w:noWrap/>
          </w:tcPr>
          <w:p>
            <w:pPr>
              <w:spacing w:after="100"/>
            </w:pPr>
            <w:r>
              <w:rPr/>
              <w:t xml:space="preserve">Завтрак. Переезд в национальный парк Ол Педжета (около 3 часов / указанное время является ориентировочным, в зависимости от транспортного движения и состояния дороги время в пути может быть увеличено).</w:t>
            </w:r>
          </w:p>
          <w:p>
            <w:pPr>
              <w:spacing w:after="100"/>
            </w:pPr>
            <w:r>
              <w:rPr/>
              <w:t xml:space="preserve">Общая площадь заповедника составляет 360 квадратных километров. Основной целью заповедника является сохранение популяции животных, постепенно исчезающих с лица Земли, таких как: леопард, черный и белый носороги, лев, слон, буйвол и гепард.</w:t>
            </w:r>
          </w:p>
        </w:tc>
        <w:tc>
          <w:tcPr>
            <w:tcW w:w="3628.3464566929133070516400039196014404296875" w:type="dxa"/>
            <w:vAlign w:val="top"/>
            <w:noWrap/>
          </w:tcPr>
          <w:p>
            <w:pPr/>
            <w:r>
              <w:pict>
                <v:shape type="#_x0000_t75" stroked="f" style="width:242pt; height:128.05039370079pt; margin-left:0pt; margin-top:113.38582677165pt; mso-position-horizontal:left; mso-position-vertical:top; mso-position-horizontal-relative:char; mso-position-vertical-relative:line;">
                  <w10:wrap type="inline"/>
                  <v:imagedata r:id="rId10" o:title=""/>
                </v:shape>
              </w:pict>
            </w:r>
          </w:p>
        </w:tc>
      </w:tr>
    </w:tbl>
    <w:p/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Сегодня на территории заповедника в полной безопасности живут более 100 черных носорогов, общая численность которых на планете составляет всего 620 особей. Кроме того, здесь находится питомник шимпанзе.</w:t>
            </w:r>
          </w:p>
          <w:p>
            <w:pPr>
              <w:spacing w:after="100"/>
            </w:pPr>
            <w:r>
              <w:rPr/>
              <w:t xml:space="preserve">Размещение в лодже. Обед. Вечернее сафари.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Sweet Waters Serena Camp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Полный пансион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4: Трекинг для наблюдения за львами. Посещение заповедника носорогов и питомника шимпанзе.</w:t>
      </w:r>
    </w:p>
    <w:tbl>
      <w:tblGrid>
        <w:gridCol w:w="5442.5196850393704153248108923435211181640625" w:type="dxa"/>
        <w:gridCol w:w="3628.346456692913307051640003919601440429687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5442.5196850393704153248108923435211181640625" w:type="dxa"/>
            <w:vAlign w:val="top"/>
            <w:noWrap/>
          </w:tcPr>
          <w:p>
            <w:pPr>
              <w:spacing w:after="100"/>
            </w:pPr>
            <w:r>
              <w:rPr/>
              <w:t xml:space="preserve">Ранний подъем. Закуски + чай/кофе в лобби лоджа.</w:t>
            </w:r>
          </w:p>
          <w:p>
            <w:pPr>
              <w:spacing w:after="100"/>
            </w:pPr>
            <w:r>
              <w:rPr/>
              <w:t xml:space="preserve">06.30-08.30 – Трекинг для наблюдения за львами.</w:t>
            </w:r>
          </w:p>
          <w:p>
            <w:pPr>
              <w:spacing w:after="100"/>
            </w:pPr>
            <w:r>
              <w:rPr/>
              <w:t xml:space="preserve">Завтрак в лодже.</w:t>
            </w:r>
          </w:p>
        </w:tc>
        <w:tc>
          <w:tcPr>
            <w:tcW w:w="3628.3464566929133070516400039196014404296875" w:type="dxa"/>
            <w:vAlign w:val="top"/>
            <w:noWrap/>
          </w:tcPr>
          <w:p>
            <w:pPr/>
            <w:r>
              <w:pict>
                <v:shape type="#_x0000_t75" stroked="f" style="width:242pt; height:124.17103448276pt; margin-left:0pt; margin-top:113.38582677165pt; mso-position-horizontal:left; mso-position-vertical:top; mso-position-horizontal-relative:char; mso-position-vertical-relative:line;">
                  <w10:wrap type="inline"/>
                  <v:imagedata r:id="rId11" o:title=""/>
                </v:shape>
              </w:pict>
            </w:r>
          </w:p>
        </w:tc>
      </w:tr>
    </w:tbl>
    <w:p/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10.00-12.00 – Посещение заповедника носорогов.</w:t>
            </w:r>
          </w:p>
          <w:p>
            <w:pPr>
              <w:spacing w:after="100"/>
            </w:pPr>
            <w:r>
              <w:rPr/>
              <w:t xml:space="preserve">Возвращение на обед в лодж.</w:t>
            </w:r>
          </w:p>
          <w:p>
            <w:pPr>
              <w:spacing w:after="100"/>
            </w:pPr>
            <w:r>
              <w:rPr/>
              <w:t xml:space="preserve">14.00-16.30 – Посещение питомника шимпанзе.</w:t>
            </w:r>
          </w:p>
          <w:p>
            <w:pPr>
              <w:spacing w:after="100"/>
            </w:pPr>
            <w:r>
              <w:rPr/>
              <w:t xml:space="preserve">Ужин в лодже.</w:t>
            </w:r>
          </w:p>
          <w:p>
            <w:pPr>
              <w:spacing w:after="100"/>
            </w:pPr>
            <w:r>
              <w:rPr/>
              <w:t xml:space="preserve">19.00-21.00 – Ночное сафари.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Sweet Waters Serena Camp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Полный пансион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5: Переезд на озеро Накуру. Вечернее сафари.</w:t>
      </w:r>
    </w:p>
    <w:tbl>
      <w:tblGrid>
        <w:gridCol w:w="5442.5196850393704153248108923435211181640625" w:type="dxa"/>
        <w:gridCol w:w="3628.346456692913307051640003919601440429687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5442.5196850393704153248108923435211181640625" w:type="dxa"/>
            <w:vAlign w:val="top"/>
            <w:noWrap/>
          </w:tcPr>
          <w:p>
            <w:pPr>
              <w:spacing w:after="100"/>
            </w:pPr>
            <w:r>
              <w:rPr/>
              <w:t xml:space="preserve">Завтрак. Переезд на озеро Накуру (около 4 часов / указанное время является ориентировочным, в зависимости от транспортного движения и состояния дороги время в пути может быть увеличено).</w:t>
            </w:r>
          </w:p>
        </w:tc>
        <w:tc>
          <w:tcPr>
            <w:tcW w:w="3628.3464566929133070516400039196014404296875" w:type="dxa"/>
            <w:vAlign w:val="top"/>
            <w:noWrap/>
          </w:tcPr>
          <w:p>
            <w:pPr/>
            <w:r>
              <w:pict>
                <v:shape type="#_x0000_t75" stroked="f" style="width:242pt; height:159.4175pt; margin-left:0pt; margin-top:113.38582677165pt; mso-position-horizontal:left; mso-position-vertical:top; mso-position-horizontal-relative:char; mso-position-vertical-relative:line;">
                  <w10:wrap type="inline"/>
                  <v:imagedata r:id="rId12" o:title=""/>
                </v:shape>
              </w:pict>
            </w:r>
          </w:p>
        </w:tc>
      </w:tr>
    </w:tbl>
    <w:p/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Это рай для любителей птиц. Кроме того, Накуру – место обитания черных и белых носорогов, ротшильдских жирафов, львов, леопардов и других животных.</w:t>
            </w:r>
          </w:p>
          <w:p>
            <w:pPr>
              <w:spacing w:after="100"/>
            </w:pPr>
            <w:r>
              <w:rPr/>
              <w:t xml:space="preserve">Размещение в лодже. Обед. Сафари.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Lake Nakuru Lodge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Полный пансион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6: Переезд в Масаи Мара. Вечернее сафари.</w:t>
      </w:r>
    </w:p>
    <w:tbl>
      <w:tblGrid>
        <w:gridCol w:w="5442.5196850393704153248108923435211181640625" w:type="dxa"/>
        <w:gridCol w:w="3628.346456692913307051640003919601440429687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5442.5196850393704153248108923435211181640625" w:type="dxa"/>
            <w:vAlign w:val="top"/>
            <w:noWrap/>
          </w:tcPr>
          <w:p>
            <w:pPr>
              <w:spacing w:after="100"/>
            </w:pPr>
            <w:r>
              <w:rPr/>
              <w:t xml:space="preserve">Завтрак. Переезд во всемирно известный заповедник Масаи Мара (около 5 часов / указанное время является ориентировочным, в зависимости от транспортного движения и состояния дороги время в пути может быть увеличено), расположенный в северной части долины Серенгети.</w:t>
            </w:r>
          </w:p>
        </w:tc>
        <w:tc>
          <w:tcPr>
            <w:tcW w:w="3628.3464566929133070516400039196014404296875" w:type="dxa"/>
            <w:vAlign w:val="top"/>
            <w:noWrap/>
          </w:tcPr>
          <w:p>
            <w:pPr/>
            <w:r>
              <w:pict>
                <v:shape type="#_x0000_t75" stroked="f" style="width:242pt; height:181.5pt; margin-left:0pt; margin-top:113.38582677165pt; mso-position-horizontal:left; mso-position-vertical:top; mso-position-horizontal-relative:char; mso-position-vertical-relative:line;">
                  <w10:wrap type="inline"/>
                  <v:imagedata r:id="rId13" o:title=""/>
                </v:shape>
              </w:pict>
            </w:r>
          </w:p>
        </w:tc>
      </w:tr>
    </w:tbl>
    <w:p/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Этот парк по праву может гордиться самой многочисленной в мире популяцией львов.</w:t>
            </w:r>
          </w:p>
          <w:p>
            <w:pPr>
              <w:spacing w:after="100"/>
            </w:pPr>
            <w:r>
              <w:rPr/>
              <w:t xml:space="preserve">Размещение в лодже. Обед. Сафари в долине Мара или вниз по реке Мара.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Mara Simba Lodge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Полный пансион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7: Сафари в Масаи Мара.</w:t>
      </w:r>
    </w:p>
    <w:tbl>
      <w:tblGrid>
        <w:gridCol w:w="5442.5196850393704153248108923435211181640625" w:type="dxa"/>
        <w:gridCol w:w="3628.346456692913307051640003919601440429687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5442.5196850393704153248108923435211181640625" w:type="dxa"/>
            <w:vAlign w:val="top"/>
            <w:noWrap/>
          </w:tcPr>
          <w:p>
            <w:pPr>
              <w:spacing w:after="100"/>
            </w:pPr>
            <w:r>
              <w:rPr/>
              <w:t xml:space="preserve">Ранний подъем. Легкие закуски (обычно это печенье или бисквит) + чай/кофе в лобби лоджа. Выезд на утреннее сафари (как известно, именно ранним утром дикие животные проявляют наибольшую активность). Возвращение в лодж, где Вас будет ожидать вкусный завтрак.</w:t>
            </w:r>
          </w:p>
          <w:p>
            <w:pPr>
              <w:spacing w:after="100"/>
            </w:pPr>
            <w:r>
              <w:rPr/>
              <w:t xml:space="preserve">Свободное время для отдыха: можно посетить местный сувенирный магазин, отдохнуть у бассейна, погулять по территории лоджа, провести время в баре или на террасе своего тента, наблюдая за животными. Обед в лодже.</w:t>
            </w:r>
          </w:p>
        </w:tc>
        <w:tc>
          <w:tcPr>
            <w:tcW w:w="3628.3464566929133070516400039196014404296875" w:type="dxa"/>
            <w:vAlign w:val="top"/>
            <w:noWrap/>
          </w:tcPr>
          <w:p>
            <w:pPr/>
            <w:r>
              <w:pict>
                <v:shape type="#_x0000_t75" stroked="f" style="width:242pt; height:172.8814832199pt; margin-left:0pt; margin-top:113.38582677165pt; mso-position-horizontal:left; mso-position-vertical:top; mso-position-horizontal-relative:char; mso-position-vertical-relative:line;">
                  <w10:wrap type="inline"/>
                  <v:imagedata r:id="rId14" o:title=""/>
                </v:shape>
              </w:pict>
            </w:r>
          </w:p>
        </w:tc>
      </w:tr>
    </w:tbl>
    <w:p/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Вечернее сафари, во время которого Вы наверняка почувствуете себя в эпицентре одного из многочисленных фильмов National Geographic, ведь этот парк является любимым местом исследователей всего мира по изучению африканской флоры и фауны!</w:t>
            </w:r>
          </w:p>
          <w:p>
            <w:pPr>
              <w:spacing w:after="100"/>
            </w:pPr>
            <w:r>
              <w:rPr/>
              <w:t xml:space="preserve">Возвращение в лодж к ужину.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Mara Simba Lodge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Полный пансион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8: Переезд на озеро Найваша. Прогулка на лодке по озеру.</w:t>
      </w:r>
    </w:p>
    <w:tbl>
      <w:tblGrid>
        <w:gridCol w:w="5442.5196850393704153248108923435211181640625" w:type="dxa"/>
        <w:gridCol w:w="3628.346456692913307051640003919601440429687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5442.5196850393704153248108923435211181640625" w:type="dxa"/>
            <w:vAlign w:val="top"/>
            <w:noWrap/>
          </w:tcPr>
          <w:p>
            <w:pPr>
              <w:spacing w:after="100"/>
            </w:pPr>
            <w:r>
              <w:rPr/>
              <w:t xml:space="preserve">Завтрак. Переезд на озеро Найваша (около 5 часов часа / указанное время является ориентировочным, в зависимости от транспортного движения и состояния дороги время в пути может быть увеличено).</w:t>
            </w:r>
          </w:p>
          <w:p>
            <w:pPr>
              <w:spacing w:after="100"/>
            </w:pPr>
            <w:r>
              <w:rPr/>
              <w:t xml:space="preserve">Найваша – одно из крупнейших пресноводных озер Рифтовой долины, излюбленное место отдыха жителей Найроби и место притяжения туристов со всего мира, дом для значительной популяции бегемотов и рай для любителей птиц (здесь гнездится более 200 видов пернатых).</w:t>
            </w:r>
          </w:p>
        </w:tc>
        <w:tc>
          <w:tcPr>
            <w:tcW w:w="3628.3464566929133070516400039196014404296875" w:type="dxa"/>
            <w:vAlign w:val="top"/>
            <w:noWrap/>
          </w:tcPr>
          <w:p>
            <w:pPr/>
            <w:r>
              <w:pict>
                <v:shape type="#_x0000_t75" stroked="f" style="width:242pt; height:161.33333333333pt; margin-left:0pt; margin-top:113.38582677165pt; mso-position-horizontal:left; mso-position-vertical:top; mso-position-horizontal-relative:char; mso-position-vertical-relative:line;">
                  <w10:wrap type="inline"/>
                  <v:imagedata r:id="rId15" o:title=""/>
                </v:shape>
              </w:pict>
            </w:r>
          </w:p>
        </w:tc>
      </w:tr>
    </w:tbl>
    <w:p/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Размещение в лодже, расположенном на берегу, на территории которого свободно гуляют зебры, жирафы, водные козлы и антилопы.</w:t>
            </w:r>
          </w:p>
          <w:p>
            <w:pPr>
              <w:spacing w:after="100"/>
            </w:pPr>
            <w:r>
              <w:rPr/>
              <w:t xml:space="preserve">Обед. Во второй половине дня Вас ожидает знакомство с природой и удивительными обитателями национального парка.</w:t>
            </w:r>
          </w:p>
          <w:p>
            <w:pPr>
              <w:spacing w:after="100"/>
            </w:pPr>
            <w:r>
              <w:rPr/>
              <w:t xml:space="preserve">Вы совершите прогулку по озеру на моторной лодке, в течение которой подойдете достаточно близко к одной из семей бегемотов, проводящих дневное время в воде; понаблюдаете за птицами, гнездящимися на берегах; увидите жирафов, антилоп, зебр и других африканских животных, приходящих к озеру на водопой. 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Lake Naivasha Country Club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Полный пансион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9: Переезд в Амбосели. Вечернее сафари.</w:t>
      </w:r>
    </w:p>
    <w:tbl>
      <w:tblGrid>
        <w:gridCol w:w="5442.5196850393704153248108923435211181640625" w:type="dxa"/>
        <w:gridCol w:w="3628.346456692913307051640003919601440429687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5442.5196850393704153248108923435211181640625" w:type="dxa"/>
            <w:vAlign w:val="top"/>
            <w:noWrap/>
          </w:tcPr>
          <w:p>
            <w:pPr>
              <w:spacing w:after="100"/>
            </w:pPr>
            <w:r>
              <w:rPr/>
              <w:t xml:space="preserve">Завтрак. Переезд на юг страны через живописные масайские земли в национальный парк Амбосели (около 5 часов / указанное время является ориентировочным, в зависимости от транспортного движения и состояния дороги время в пути может быть увеличено). </w:t>
            </w:r>
          </w:p>
          <w:p>
            <w:pPr>
              <w:spacing w:after="100"/>
            </w:pPr>
            <w:r>
              <w:rPr/>
              <w:t xml:space="preserve">Величественная гора Килиманджаро возвышается над этой местностью, скрываясь высоко за облаками.</w:t>
            </w:r>
          </w:p>
          <w:p>
            <w:pPr>
              <w:spacing w:after="100"/>
            </w:pPr>
            <w:r>
              <w:rPr/>
              <w:t xml:space="preserve">Размещение в лодже. Обед. Вечернее сафари.</w:t>
            </w:r>
          </w:p>
        </w:tc>
        <w:tc>
          <w:tcPr>
            <w:tcW w:w="3628.3464566929133070516400039196014404296875" w:type="dxa"/>
            <w:vAlign w:val="top"/>
            <w:noWrap/>
          </w:tcPr>
          <w:p>
            <w:pPr/>
            <w:r>
              <w:pict>
                <v:shape type="#_x0000_t75" stroked="f" style="width:242pt; height:126.87010954617pt; margin-left:0pt; margin-top:113.38582677165pt; mso-position-horizontal:left; mso-position-vertical:top; mso-position-horizontal-relative:char; mso-position-vertical-relative:line;">
                  <w10:wrap type="inline"/>
                  <v:imagedata r:id="rId16" o:title=""/>
                </v:shape>
              </w:pict>
            </w:r>
          </w:p>
        </w:tc>
      </w:tr>
    </w:tbl>
    <w:p/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Насладитесь богатством живой природы и красотой кенийских пейзажей на фоне Вершины Африки.</w:t>
            </w:r>
          </w:p>
          <w:p>
            <w:pPr>
              <w:spacing w:after="100"/>
            </w:pPr>
            <w:r>
              <w:rPr/>
              <w:t xml:space="preserve">Вулкан Килиманджаро высотой 5895 метров – самая высокая точка африканского континента.</w:t>
            </w:r>
          </w:p>
          <w:p>
            <w:pPr>
              <w:spacing w:after="100"/>
            </w:pPr>
            <w:r>
              <w:rPr/>
              <w:t xml:space="preserve">Удивительный факт: хотя Килиманджаро располагается на территории Танзании, лучший вид на него открывается из Кении, а именно из парка Амбосели, который также знаменит огромной популяцией слонов и других диких животных. И именно здесь сделаны все знаменитые фотографии слонов и жирафов на фоне Килиманджаро, которыми так пестрит интернет.</w:t>
            </w:r>
          </w:p>
          <w:p>
            <w:pPr>
              <w:spacing w:after="100"/>
            </w:pPr>
            <w:r>
              <w:rPr/>
              <w:t xml:space="preserve">Возвращение в лодж к ужину.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Ol Tukai Lodge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Полный пансион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10: Отправление на скоростном поезде в Найроби. Трансфер в аэропорт.</w:t>
      </w:r>
    </w:p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Завтрак. Трансфер на ж/д вокзал.</w:t>
            </w:r>
          </w:p>
          <w:p>
            <w:pPr>
              <w:spacing w:after="100"/>
            </w:pPr>
            <w:r>
              <w:rPr/>
              <w:t xml:space="preserve">Отправление на скоростном поезде в Найроби.</w:t>
            </w:r>
          </w:p>
          <w:p>
            <w:pPr>
              <w:spacing w:after="100"/>
            </w:pPr>
            <w:r>
              <w:rPr/>
              <w:t xml:space="preserve">Трансфер в международный аэропорт для вылета.</w:t>
            </w:r>
          </w:p>
        </w:tc>
      </w:tr>
    </w:tbl>
    <w:p/>
    <w:p>
      <w:pPr>
        <w:pStyle w:val="Heading2"/>
      </w:pPr>
      <w:bookmarkStart w:id="2" w:name="_Toc2"/>
      <w:r>
        <w:t>Цены тура «Африканский рай - 3*»</w:t>
      </w:r>
      <w:bookmarkEnd w:id="2"/>
    </w:p>
    <w:p>
      <w:pPr/>
      <w:r>
        <w:rPr>
          <w:b w:val="1"/>
          <w:bCs w:val="1"/>
        </w:rPr>
        <w:t xml:space="preserve">Стоимость тура за одного человека</w:t>
      </w:r>
    </w:p>
    <w:p/>
    <w:tbl>
      <w:tblGrid>
        <w:gridCol w:w="5102.3622047244089117157272994518280029296875" w:type="dxa"/>
        <w:gridCol w:w="1984.2519685039369505830109119415283203125" w:type="dxa"/>
        <w:gridCol w:w="1984.2519685039369505830109119415283203125" w:type="dxa"/>
      </w:tblGrid>
      <w:tblPr>
        <w:tblStyle w:val="PriceTable"/>
      </w:tblPr>
      <w:tr>
        <w:trPr/>
        <w:tc>
          <w:tcPr>
            <w:tcW w:w="9070.866141732281903387047350406646728515625" w:type="dxa"/>
            <w:vAlign w:val="center"/>
            <w:shd w:val="clear" w:fill="F2F2F2"/>
            <w:gridSpan w:val="3"/>
            <w:noWrap/>
          </w:tcPr>
          <w:p>
            <w:pPr/>
            <w:r>
              <w:rPr>
                <w:b w:val="1"/>
                <w:bCs w:val="1"/>
              </w:rPr>
              <w:t xml:space="preserve">Период:</w:t>
            </w:r>
          </w:p>
        </w:tc>
      </w:tr>
      <w:tr>
        <w:trPr/>
        <w:tc>
          <w:tcPr>
            <w:tcW w:w="5102.3622047244089117157272994518280029296875" w:type="dxa"/>
            <w:noWrap/>
          </w:tcPr>
          <w:p>
            <w:pPr/>
            <w:r>
              <w:rPr>
                <w:b w:val="1"/>
                <w:bCs w:val="1"/>
              </w:rPr>
              <w:t xml:space="preserve">Наименование</w:t>
            </w:r>
          </w:p>
        </w:tc>
        <w:tc>
          <w:tcPr>
            <w:tcW w:w="1984.2519685039369505830109119415283203125" w:type="dxa"/>
            <w:noWrap/>
          </w:tcPr>
          <w:p>
            <w:pPr>
              <w:pStyle w:val="pCenter"/>
            </w:pPr>
            <w:r>
              <w:rPr>
                <w:b w:val="1"/>
                <w:bCs w:val="1"/>
              </w:rPr>
              <w:t xml:space="preserve">SNGL</w:t>
            </w:r>
          </w:p>
        </w:tc>
        <w:tc>
          <w:tcPr>
            <w:tcW w:w="1984.2519685039369505830109119415283203125" w:type="dxa"/>
            <w:noWrap/>
          </w:tcPr>
          <w:p>
            <w:pPr>
              <w:pStyle w:val="pCenter"/>
            </w:pPr>
            <w:r>
              <w:rPr>
                <w:b w:val="1"/>
                <w:bCs w:val="1"/>
              </w:rPr>
              <w:t xml:space="preserve">DBL</w:t>
            </w:r>
          </w:p>
        </w:tc>
      </w:tr>
      <w:tr>
        <w:trPr/>
        <w:tc>
          <w:tcPr>
            <w:vAlign w:val="center"/>
            <w:noWrap/>
          </w:tcPr>
          <w:p>
            <w:pPr/>
            <w:r>
              <w:rPr/>
              <w:t xml:space="preserve">02.01 - 31.03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5 460 $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4 590 $</w:t>
            </w:r>
          </w:p>
        </w:tc>
      </w:tr>
      <w:tr>
        <w:trPr/>
        <w:tc>
          <w:tcPr>
            <w:vAlign w:val="center"/>
            <w:noWrap/>
          </w:tcPr>
          <w:p>
            <w:pPr/>
            <w:r>
              <w:rPr/>
              <w:t xml:space="preserve">01.04 - 31.05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4 780 $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4 260 $</w:t>
            </w:r>
          </w:p>
        </w:tc>
      </w:tr>
      <w:tr>
        <w:trPr/>
        <w:tc>
          <w:tcPr>
            <w:vAlign w:val="center"/>
            <w:noWrap/>
          </w:tcPr>
          <w:p>
            <w:pPr/>
            <w:r>
              <w:rPr/>
              <w:t xml:space="preserve">01.06 - 20.06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5 570 $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4 780 $</w:t>
            </w:r>
          </w:p>
        </w:tc>
      </w:tr>
      <w:tr>
        <w:trPr/>
        <w:tc>
          <w:tcPr>
            <w:vAlign w:val="center"/>
            <w:noWrap/>
          </w:tcPr>
          <w:p>
            <w:pPr/>
            <w:r>
              <w:rPr/>
              <w:t xml:space="preserve">21.06 - 31.08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5 960 $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5 960 $</w:t>
            </w:r>
          </w:p>
        </w:tc>
      </w:tr>
      <w:tr>
        <w:trPr/>
        <w:tc>
          <w:tcPr>
            <w:vAlign w:val="center"/>
            <w:noWrap/>
          </w:tcPr>
          <w:p>
            <w:pPr/>
            <w:r>
              <w:rPr/>
              <w:t xml:space="preserve">01.09 - 30.09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6 630 $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5 510 $</w:t>
            </w:r>
          </w:p>
        </w:tc>
      </w:tr>
      <w:tr>
        <w:trPr/>
        <w:tc>
          <w:tcPr>
            <w:vAlign w:val="center"/>
            <w:noWrap/>
          </w:tcPr>
          <w:p>
            <w:pPr/>
            <w:r>
              <w:rPr/>
              <w:t xml:space="preserve">01.10 - 31.10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6 420 $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5 290 $</w:t>
            </w:r>
          </w:p>
        </w:tc>
      </w:tr>
      <w:tr>
        <w:trPr/>
        <w:tc>
          <w:tcPr>
            <w:vAlign w:val="center"/>
            <w:noWrap/>
          </w:tcPr>
          <w:p>
            <w:pPr/>
            <w:r>
              <w:rPr/>
              <w:t xml:space="preserve">01.11 - 15.12 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5 700 $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4 890 $</w:t>
            </w:r>
          </w:p>
        </w:tc>
      </w:tr>
    </w:tbl>
    <w:p>
      <w:pPr>
        <w:pStyle w:val="Heading3"/>
      </w:pPr>
      <w:bookmarkStart w:id="3" w:name="_Toc3"/>
      <w:r>
        <w:t>В стоимость тура включено:</w:t>
      </w:r>
      <w:bookmarkEnd w:id="3"/>
    </w:p>
    <w:p>
      <w:pPr>
        <w:pStyle w:val="listTight"/>
        <w:numPr>
          <w:ilvl w:val="0"/>
          <w:numId w:val="10"/>
        </w:numPr>
      </w:pPr>
      <w:r>
        <w:rPr/>
        <w:t xml:space="preserve">Проживание и питание по программе    </w:t>
      </w:r>
    </w:p>
    <w:p>
      <w:pPr>
        <w:pStyle w:val="listTight"/>
        <w:numPr>
          <w:ilvl w:val="0"/>
          <w:numId w:val="10"/>
        </w:numPr>
      </w:pPr>
      <w:r>
        <w:rPr/>
        <w:t xml:space="preserve">Транспортное и экскурсионное обслуживание по программе с англоговорящим гидом </w:t>
      </w:r>
    </w:p>
    <w:p>
      <w:pPr>
        <w:pStyle w:val="Heading3"/>
      </w:pPr>
      <w:bookmarkStart w:id="4" w:name="_Toc4"/>
      <w:r>
        <w:t>Оплачивается дополнительно:</w:t>
      </w:r>
      <w:bookmarkEnd w:id="4"/>
    </w:p>
    <w:p>
      <w:pPr>
        <w:pStyle w:val="listTight"/>
        <w:numPr>
          <w:ilvl w:val="0"/>
          <w:numId w:val="10"/>
        </w:numPr>
      </w:pPr>
      <w:r>
        <w:rPr/>
        <w:t xml:space="preserve">Чаевые и расходы личного характера</w:t>
      </w:r>
    </w:p>
    <w:p>
      <w:pPr>
        <w:pStyle w:val="listTight"/>
        <w:numPr>
          <w:ilvl w:val="0"/>
          <w:numId w:val="10"/>
        </w:numPr>
      </w:pPr>
      <w:r>
        <w:rPr/>
        <w:t xml:space="preserve">Международный перелет </w:t>
      </w:r>
    </w:p>
    <w:p>
      <w:pPr>
        <w:pStyle w:val="listTight"/>
        <w:numPr>
          <w:ilvl w:val="0"/>
          <w:numId w:val="10"/>
        </w:numPr>
      </w:pPr>
      <w:r>
        <w:rPr/>
        <w:t xml:space="preserve">Визовый сбор</w:t>
      </w:r>
    </w:p>
    <w:p>
      <w:pPr>
        <w:pStyle w:val="listTight"/>
        <w:numPr>
          <w:ilvl w:val="0"/>
          <w:numId w:val="10"/>
        </w:numPr>
      </w:pPr>
      <w:r>
        <w:rPr/>
        <w:t xml:space="preserve">Медицинская страховка    </w:t>
      </w:r>
    </w:p>
    <w:p/>
    <w:p>
      <w:pPr>
        <w:pStyle w:val="pStyle"/>
      </w:pPr>
      <w:r>
        <w:rPr/>
        <w:t xml:space="preserve">Телефон для заказа: +7(925) 514-83-53</w:t>
      </w:r>
    </w:p>
    <w:p>
      <w:pPr>
        <w:pStyle w:val="pStyle"/>
      </w:pPr>
      <w:r>
        <w:rPr/>
        <w:t xml:space="preserve">E-mail: info@wildtrek.ru</w:t>
      </w:r>
    </w:p>
    <w:sectPr>
      <w:pgSz w:orient="portrait" w:w="11905.511811023621703498065471649169921875" w:h="16837.7952755905498634092509746551513671875"/>
      <w:pgMar w:top="1133.858267716535237923380918800830841064453125" w:right="1133.858267716535237923380918800830841064453125" w:bottom="1133.858267716535237923380918800830841064453125" w:left="1133.858267716535237923380918800830841064453125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0">
    <w:nsid w:val="F8C345DB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0">
    <w:abstractNumId w:val="1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Arial" w:cs="Times New Roman"/>
        <w:color w:val="000000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360"/>
    </w:pPr>
    <w:rPr>
      <w:sz w:val="44"/>
      <w:szCs w:val="44"/>
      <w:b w:val="1"/>
      <w:bCs w:val="1"/>
    </w:rPr>
  </w:style>
  <w:style w:type="paragraph" w:styleId="Heading2">
    <w:link w:val="Heading2Char"/>
    <w:name w:val="heading 2"/>
    <w:basedOn w:val="Normal"/>
    <w:pPr>
      <w:spacing w:before="400" w:after="28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spacing w:before="320" w:after="200"/>
    </w:pPr>
    <w:rPr>
      <w:sz w:val="28"/>
      <w:szCs w:val="28"/>
      <w:b w:val="1"/>
      <w:bCs w:val="1"/>
    </w:rPr>
  </w:style>
  <w:style w:type="paragraph" w:customStyle="1" w:styleId="pStyle">
    <w:name w:val="pStyle"/>
    <w:basedOn w:val="Normal"/>
    <w:pPr>
      <w:spacing w:after="0" w:line="240" w:lineRule="auto"/>
    </w:pPr>
  </w:style>
  <w:style w:type="paragraph" w:customStyle="1" w:styleId="pCenter">
    <w:name w:val="pCenter"/>
    <w:basedOn w:val="Normal"/>
    <w:pPr>
      <w:jc w:val="center"/>
      <w:spacing w:line="240" w:lineRule="auto"/>
    </w:pPr>
  </w:style>
  <w:style w:type="paragraph" w:customStyle="1" w:styleId="pRight">
    <w:name w:val="pRight"/>
    <w:basedOn w:val="Normal"/>
    <w:pPr>
      <w:jc w:val="end"/>
      <w:spacing w:line="240" w:lineRule="auto"/>
    </w:pPr>
  </w:style>
  <w:style w:type="table" w:customStyle="1" w:styleId="PriceTable">
    <w:name w:val="PriceTable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999999"/>
        <w:left w:val="single" w:sz="6" w:color="999999"/>
        <w:right w:val="single" w:sz="6" w:color="999999"/>
        <w:bottom w:val="single" w:sz="6" w:color="999999"/>
        <w:insideH w:val="single" w:sz="6" w:color="999999"/>
        <w:insideV w:val="single" w:sz="6" w:color="999999"/>
      </w:tblBorders>
    </w:tblPr>
  </w:style>
  <w:style w:type="paragraph" w:customStyle="1" w:styleId="pTight">
    <w:name w:val="pTight"/>
    <w:basedOn w:val="Normal"/>
    <w:pPr>
      <w:spacing w:before="0" w:after="0" w:line="240" w:lineRule="auto"/>
    </w:pPr>
  </w:style>
  <w:style w:type="paragraph" w:customStyle="1" w:styleId="listTight">
    <w:name w:val="listTight"/>
    <w:basedOn w:val="Normal"/>
    <w:pPr>
      <w:ind w:left="283.46456692913380948084522970020771026611328125" w:right="0" w:firstLine="0" w:hanging="0"/>
      <w:spacing w:before="0"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jpg"/><Relationship Id="rId9" Type="http://schemas.openxmlformats.org/officeDocument/2006/relationships/image" Target="media/section_image3.jpg"/><Relationship Id="rId10" Type="http://schemas.openxmlformats.org/officeDocument/2006/relationships/image" Target="media/section_image4.png"/><Relationship Id="rId11" Type="http://schemas.openxmlformats.org/officeDocument/2006/relationships/image" Target="media/section_image5.png"/><Relationship Id="rId12" Type="http://schemas.openxmlformats.org/officeDocument/2006/relationships/image" Target="media/section_image6.jpg"/><Relationship Id="rId13" Type="http://schemas.openxmlformats.org/officeDocument/2006/relationships/image" Target="media/section_image7.jpg"/><Relationship Id="rId14" Type="http://schemas.openxmlformats.org/officeDocument/2006/relationships/image" Target="media/section_image8.jpg"/><Relationship Id="rId15" Type="http://schemas.openxmlformats.org/officeDocument/2006/relationships/image" Target="media/section_image9.jpg"/><Relationship Id="rId16" Type="http://schemas.openxmlformats.org/officeDocument/2006/relationships/image" Target="media/section_image10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2026-09-20T18:44:35+03:00</dcterms:created>
  <dcterms:modified xsi:type="dcterms:W3CDTF">2026-09-20T18:44:35+03:00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