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Fly-in: Очарование Намибии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Соссусфлей – Дамараленд – парк Этоша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11280 $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Перелет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Частный (чартерный) перелет в Соссусфлей (1 час 10 минут)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Little Kulala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Little Kulala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Свакопмунд (1 час 30 минут) – панорамный полет над дюнами, старыми алмазными приисками, останками кораблей и Сэндвич Харбор.</w:t>
            </w:r>
          </w:p>
          <w:p>
            <w:pPr>
              <w:spacing w:after="100"/>
            </w:pPr>
            <w:r>
              <w:rPr/>
              <w:t xml:space="preserve">После дозаправки (30 минут) перелет в Дамараленд (50 минут).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  <w:p>
            <w:pPr>
              <w:spacing w:after="100"/>
            </w:pPr>
            <w:r>
              <w:rPr/>
              <w:t xml:space="preserve">Поездка на джипах на закате вдоль русла реки, где Вы сможете увидеть африканских слонов, адаптировавшихся к 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долину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 соединившись с грунтом, образовал причудливые песчано-каменные горы. Во времена неолита (3 тысячелетие до н.э.) здесь были созданы тысячи наскальных рисунков, которые сейчас внесены в список Всемирного Наследия ЮНЕСКО. Тысячелетиями эта долина использовалась коренными племенами, занимавшимися охотой и собирательством для совершения 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Мокути (1 час 15 минут).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и вечернее сафари в парке Этоша.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сафари в парке Этоша.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Виндхук (1 час 40 минут).</w:t>
            </w:r>
          </w:p>
          <w:p>
            <w:pPr>
              <w:spacing w:after="100"/>
            </w:pPr>
            <w:r>
              <w:rPr/>
              <w:t xml:space="preserve">Стыковка с международным рейсом.</w:t>
            </w:r>
          </w:p>
        </w:tc>
      </w:tr>
    </w:tbl>
    <w:p/>
    <w:p>
      <w:pPr>
        <w:pStyle w:val="Heading2"/>
      </w:pPr>
      <w:bookmarkStart w:id="2" w:name="_Toc2"/>
      <w:r>
        <w:t>Цены тура «Fly-in: Очарование Намибии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14 040 $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11 280 $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AE27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2026-07-17T22:19:08+03:00</dcterms:created>
  <dcterms:modified xsi:type="dcterms:W3CDTF">2026-07-17T22:19:08+03:00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