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Нгоронгоро + озеро Маньяра. Luxe</w:t>
      </w:r>
      <w:bookmarkEnd w:id="0"/>
    </w:p>
    <w:p/>
    <w:p>
      <w:pPr>
        <w:pStyle w:val="pStyle"/>
      </w:pPr>
      <w:r>
        <w:rPr>
          <w:b w:val="1"/>
          <w:bCs w:val="1"/>
        </w:rPr>
        <w:t xml:space="preserve">Даты тура: </w:t>
      </w:r>
      <w:r>
        <w:rPr/>
        <w:t xml:space="preserve">до 31.12.2021</w:t>
      </w:r>
    </w:p>
    <w:p>
      <w:pPr>
        <w:pStyle w:val="pStyle"/>
      </w:pPr>
      <w:r>
        <w:rPr>
          <w:b w:val="1"/>
          <w:bCs w:val="1"/>
        </w:rPr>
        <w:t xml:space="preserve">Страна: </w:t>
      </w:r>
      <w:r>
        <w:rPr/>
        <w:t xml:space="preserve">Танзания</w:t>
      </w:r>
    </w:p>
    <w:p>
      <w:pPr>
        <w:pStyle w:val="pStyle"/>
      </w:pPr>
      <w:r>
        <w:rPr>
          <w:b w:val="1"/>
          <w:bCs w:val="1"/>
        </w:rPr>
        <w:t xml:space="preserve">Маршрут: </w:t>
      </w:r>
      <w:r>
        <w:rPr/>
        <w:t xml:space="preserve">Нгоронгоро - озеро Маньяра</w:t>
      </w:r>
    </w:p>
    <w:p>
      <w:pPr>
        <w:pStyle w:val="pStyle"/>
      </w:pPr>
      <w:r>
        <w:rPr>
          <w:b w:val="1"/>
          <w:bCs w:val="1"/>
        </w:rPr>
        <w:t xml:space="preserve">Стоимость тура: </w:t>
      </w:r>
      <w:r>
        <w:rPr/>
        <w:t xml:space="preserve">от 2541 $</w:t>
      </w:r>
    </w:p>
    <w:p/>
    <w:p>
      <w:pPr>
        <w:jc w:val="center"/>
      </w:pPr>
      <w:r>
        <w:pict>
          <v:shape type="#_x0000_t75" stroked="f" style="width:450pt; height:321.42857142857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pPr>
        <w:pStyle w:val="Heading2"/>
      </w:pPr>
      <w:bookmarkStart w:id="1" w:name="_Toc1"/>
      <w:r>
        <w:t>Описание тура</w:t>
      </w:r>
      <w:bookmarkEnd w:id="1"/>
    </w:p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1: Переезд в Нгоронгоро. Размещение в лодже на кромке кратера потухшего вулкана.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Встреча в аэропорту Аруша с нашим представителем (утром).</w:t>
            </w:r>
          </w:p>
          <w:p>
            <w:pPr>
              <w:spacing w:after="100"/>
            </w:pPr>
            <w:r>
              <w:rPr/>
              <w:t xml:space="preserve">Переезд в заповедник Нгоронгоро (около 3 часов / указанное время является ориентировочным / в зависимости от транспортной загруженности и состояния дороги в конкретный день время в пути может быть увеличено), расположившийся в кратере потухшего вулкана. Размещение в лодже. Обед. Свободное время для отдыха. Ужин.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Ngorongoro Crater Lodge 5*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Все включено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2: Сафари в кратере вулкана Нгоронгоро. Переезд на озеро Маньяра.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 Выезд на сафари в кратер. Обед – ланч-бокс. Переезд в национальный парк озеро Маньяра (около 1,5 часов / указанное время является ориентировочным / в зависимости от транспортной загруженности и состояния дороги в конкретный день время в пути может быть увеличено), главной достопримечательностью которого являются львы, лазающие по веткам акаций, а также озеро с фламинго. Размещение в лодже. Ужин.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Lake Manyara Kilimamoja Lodge 5*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Полный 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3: Сафари на озере Маньяра. Возвращение в Арушу.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 Сафари на озере Маньяра. Обед – ланч-бокс. Трансфер в аэропорт Аруша.</w:t>
            </w:r>
          </w:p>
        </w:tc>
      </w:tr>
    </w:tbl>
    <w:p/>
    <w:p>
      <w:pPr>
        <w:pStyle w:val="Heading2"/>
      </w:pPr>
      <w:bookmarkStart w:id="2" w:name="_Toc2"/>
      <w:r>
        <w:t>Цены тура «Нгоронгоро + озеро Маньяра. Luxe»</w:t>
      </w:r>
      <w:bookmarkEnd w:id="2"/>
    </w:p>
    <w:p>
      <w:pPr/>
      <w:r>
        <w:rPr>
          <w:b w:val="1"/>
          <w:bCs w:val="1"/>
        </w:rPr>
        <w:t xml:space="preserve">Стоимость тура за одного человека</w:t>
      </w:r>
    </w:p>
    <w:p/>
    <w:tbl>
      <w:tblGrid>
        <w:gridCol w:w="5102.3622047244089117157272994518280029296875" w:type="dxa"/>
        <w:gridCol w:w="1984.2519685039369505830109119415283203125" w:type="dxa"/>
      </w:tblGrid>
      <w:tblPr>
        <w:tblStyle w:val="PriceTable"/>
      </w:tblPr>
      <w:tr>
        <w:trPr/>
        <w:tc>
          <w:tcPr>
            <w:tcW w:w="9070.866141732281903387047350406646728515625" w:type="dxa"/>
            <w:vAlign w:val="center"/>
            <w:shd w:val="clear" w:fill="F2F2F2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Период:</w:t>
            </w:r>
          </w:p>
        </w:tc>
      </w:tr>
      <w:tr>
        <w:trPr/>
        <w:tc>
          <w:tcPr>
            <w:tcW w:w="5102.3622047244089117157272994518280029296875" w:type="dxa"/>
            <w:noWrap/>
          </w:tcPr>
          <w:p>
            <w:pPr/>
            <w:r>
              <w:rPr>
                <w:b w:val="1"/>
                <w:bCs w:val="1"/>
              </w:rPr>
              <w:t xml:space="preserve">Наименование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DBL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11 января – 28 февраля </w:t>
            </w:r>
          </w:p>
          <w:p/>
          <w:p>
            <w:pPr/>
            <w:r>
              <w:rPr/>
              <w:t xml:space="preserve">1 июля – 30 сентября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3 453 $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1 марта – 31 марта 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2 600 $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1 апреля – 31 мая 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2 541 $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1 июня – 30 июня 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3 376 $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1 октября – 31 октября </w:t>
            </w:r>
          </w:p>
          <w:p/>
          <w:p>
            <w:pPr/>
            <w:r>
              <w:rPr/>
              <w:t xml:space="preserve">1 ноября – 19 декабря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2 676 $</w:t>
            </w:r>
          </w:p>
        </w:tc>
      </w:tr>
    </w:tbl>
    <w:p>
      <w:pPr>
        <w:pStyle w:val="Heading3"/>
      </w:pPr>
      <w:bookmarkStart w:id="3" w:name="_Toc3"/>
      <w:r>
        <w:t>В стоимость тура включено:</w:t>
      </w:r>
      <w:bookmarkEnd w:id="3"/>
    </w:p>
    <w:p>
      <w:pPr>
        <w:pStyle w:val="listTight"/>
        <w:numPr>
          <w:ilvl w:val="0"/>
          <w:numId w:val="10"/>
        </w:numPr>
      </w:pPr>
      <w:r>
        <w:rPr/>
        <w:t xml:space="preserve">Медицинская страховка    </w:t>
      </w:r>
    </w:p>
    <w:p>
      <w:pPr>
        <w:pStyle w:val="listTight"/>
        <w:numPr>
          <w:ilvl w:val="0"/>
          <w:numId w:val="10"/>
        </w:numPr>
      </w:pPr>
      <w:r>
        <w:rPr/>
        <w:t xml:space="preserve">Транспортное и экскурсионное обслуживание по программе с англоговорящим гидом </w:t>
      </w:r>
    </w:p>
    <w:p>
      <w:pPr>
        <w:pStyle w:val="listTight"/>
        <w:numPr>
          <w:ilvl w:val="0"/>
          <w:numId w:val="10"/>
        </w:numPr>
      </w:pPr>
      <w:r>
        <w:rPr/>
        <w:t xml:space="preserve">Проживание и питание по программе    </w:t>
      </w:r>
    </w:p>
    <w:p>
      <w:pPr>
        <w:pStyle w:val="Heading3"/>
      </w:pPr>
      <w:bookmarkStart w:id="4" w:name="_Toc4"/>
      <w:r>
        <w:t>Оплачивается дополнительно:</w:t>
      </w:r>
      <w:bookmarkEnd w:id="4"/>
    </w:p>
    <w:p>
      <w:pPr>
        <w:pStyle w:val="listTight"/>
        <w:numPr>
          <w:ilvl w:val="0"/>
          <w:numId w:val="10"/>
        </w:numPr>
      </w:pPr>
      <w:r>
        <w:rPr/>
        <w:t xml:space="preserve">Чаевые и расходы личного характера</w:t>
      </w:r>
    </w:p>
    <w:p>
      <w:pPr>
        <w:pStyle w:val="listTight"/>
        <w:numPr>
          <w:ilvl w:val="0"/>
          <w:numId w:val="10"/>
        </w:numPr>
      </w:pPr>
      <w:r>
        <w:rPr/>
        <w:t xml:space="preserve">Международный перелет </w:t>
      </w:r>
    </w:p>
    <w:p>
      <w:pPr>
        <w:pStyle w:val="listTight"/>
        <w:numPr>
          <w:ilvl w:val="0"/>
          <w:numId w:val="10"/>
        </w:numPr>
      </w:pPr>
      <w:r>
        <w:rPr/>
        <w:t xml:space="preserve">Внутренние перелеты    </w:t>
      </w:r>
    </w:p>
    <w:p>
      <w:pPr>
        <w:pStyle w:val="listTight"/>
        <w:numPr>
          <w:ilvl w:val="0"/>
          <w:numId w:val="10"/>
        </w:numPr>
      </w:pPr>
      <w:r>
        <w:rPr/>
        <w:t xml:space="preserve">Визовый сбор</w:t>
      </w:r>
    </w:p>
    <w:p/>
    <w:p>
      <w:pPr>
        <w:pStyle w:val="pStyle"/>
      </w:pPr>
      <w:r>
        <w:rPr/>
        <w:t xml:space="preserve">Телефон для заказа: +7(925) 514-83-53</w:t>
      </w:r>
    </w:p>
    <w:p>
      <w:pPr>
        <w:pStyle w:val="pStyle"/>
      </w:pPr>
      <w:r>
        <w:rPr/>
        <w:t xml:space="preserve">E-mail: info@wildtrek.ru</w:t>
      </w:r>
    </w:p>
    <w:sectPr>
      <w:pgSz w:orient="portrait" w:w="11905.511811023621703498065471649169921875" w:h="16837.7952755905498634092509746551513671875"/>
      <w:pgMar w:top="1133.858267716535237923380918800830841064453125" w:right="1133.858267716535237923380918800830841064453125" w:bottom="1133.858267716535237923380918800830841064453125" w:left="1133.858267716535237923380918800830841064453125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0">
    <w:nsid w:val="F00DE76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360"/>
    </w:pPr>
    <w:rPr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400" w:after="28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320" w:after="200"/>
    </w:pPr>
    <w:rPr>
      <w:sz w:val="28"/>
      <w:szCs w:val="28"/>
      <w:b w:val="1"/>
      <w:bCs w:val="1"/>
    </w:rPr>
  </w:style>
  <w:style w:type="paragraph" w:customStyle="1" w:styleId="pStyle">
    <w:name w:val="pStyle"/>
    <w:basedOn w:val="Normal"/>
    <w:pPr>
      <w:spacing w:after="0" w:line="240" w:lineRule="auto"/>
    </w:pPr>
  </w:style>
  <w:style w:type="paragraph" w:customStyle="1" w:styleId="pCenter">
    <w:name w:val="pCenter"/>
    <w:basedOn w:val="Normal"/>
    <w:pPr>
      <w:jc w:val="center"/>
      <w:spacing w:line="240" w:lineRule="auto"/>
    </w:pPr>
  </w:style>
  <w:style w:type="paragraph" w:customStyle="1" w:styleId="pRight">
    <w:name w:val="pRight"/>
    <w:basedOn w:val="Normal"/>
    <w:pPr>
      <w:jc w:val="end"/>
      <w:spacing w:line="240" w:lineRule="auto"/>
    </w:pPr>
  </w:style>
  <w:style w:type="table" w:customStyle="1" w:styleId="PriceTable">
    <w:name w:val="PriceTable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6" w:color="999999"/>
        <w:left w:val="single" w:sz="6" w:color="999999"/>
        <w:right w:val="single" w:sz="6" w:color="999999"/>
        <w:bottom w:val="single" w:sz="6" w:color="999999"/>
        <w:insideH w:val="single" w:sz="6" w:color="999999"/>
        <w:insideV w:val="single" w:sz="6" w:color="999999"/>
      </w:tblBorders>
    </w:tblPr>
  </w:style>
  <w:style w:type="paragraph" w:customStyle="1" w:styleId="pTight">
    <w:name w:val="pTight"/>
    <w:basedOn w:val="Normal"/>
    <w:pPr>
      <w:spacing w:before="0" w:after="0" w:line="240" w:lineRule="auto"/>
    </w:pPr>
  </w:style>
  <w:style w:type="paragraph" w:customStyle="1" w:styleId="listTight">
    <w:name w:val="listTight"/>
    <w:basedOn w:val="Normal"/>
    <w:pPr>
      <w:ind w:left="283.46456692913380948084522970020771026611328125" w:right="0" w:firstLine="0" w:hanging="0"/>
      <w:spacing w:before="0"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2026-07-15T12:46:47+03:00</dcterms:created>
  <dcterms:modified xsi:type="dcterms:W3CDTF">2026-07-15T12:46:47+03:00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